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717FA5F3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13424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42438432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13424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 xml:space="preserve">Markem </w:t>
      </w:r>
      <w:proofErr w:type="spellStart"/>
      <w:r w:rsidR="008C5C31">
        <w:rPr>
          <w:rFonts w:ascii="Arial" w:eastAsia="Times New Roman" w:hAnsi="Arial" w:cs="Arial"/>
          <w:snapToGrid w:val="0"/>
          <w:lang w:eastAsia="cs-CZ"/>
        </w:rPr>
        <w:t>Špokem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. pod </w:t>
      </w:r>
      <w:proofErr w:type="spell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sp</w:t>
      </w:r>
      <w:proofErr w:type="spell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 zn. 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., DIČ …………………</w:t>
      </w:r>
    </w:p>
    <w:p w14:paraId="41ADC7A6" w14:textId="3B79341E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7D17B0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0F8F1CA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C17729">
        <w:rPr>
          <w:rFonts w:ascii="Arial" w:eastAsia="Times New Roman" w:hAnsi="Arial" w:cs="Arial"/>
          <w:i/>
          <w:iCs/>
          <w:lang w:eastAsia="cs-CZ"/>
        </w:rPr>
        <w:t>-číst 3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8B6F37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</w:t>
      </w:r>
      <w:proofErr w:type="spellStart"/>
      <w:r w:rsidR="002423A0">
        <w:rPr>
          <w:rFonts w:ascii="Arial" w:eastAsia="Times New Roman" w:hAnsi="Arial" w:cs="Arial"/>
          <w:i/>
          <w:iCs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</w:t>
      </w:r>
      <w:proofErr w:type="spellStart"/>
      <w:r w:rsidR="002423A0">
        <w:rPr>
          <w:rFonts w:ascii="Arial" w:eastAsia="Times New Roman" w:hAnsi="Arial" w:cs="Arial"/>
          <w:i/>
          <w:iCs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</w:t>
      </w:r>
      <w:proofErr w:type="spellStart"/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Předzásoba</w:t>
      </w:r>
      <w:proofErr w:type="spellEnd"/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proofErr w:type="spellStart"/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Předzásoba</w:t>
      </w:r>
      <w:proofErr w:type="spellEnd"/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</w:t>
      </w:r>
      <w:proofErr w:type="spellStart"/>
      <w:r w:rsidR="00CE293D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</w:t>
      </w:r>
      <w:proofErr w:type="spellStart"/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>předzásoby</w:t>
      </w:r>
      <w:proofErr w:type="spellEnd"/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ii</w:t>
      </w:r>
      <w:proofErr w:type="spellEnd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proofErr w:type="spellEnd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</w:t>
      </w:r>
      <w:proofErr w:type="gramStart"/>
      <w:r w:rsidR="00620DAE">
        <w:rPr>
          <w:rFonts w:ascii="Arial" w:eastAsia="Times New Roman" w:hAnsi="Arial" w:cs="Arial"/>
          <w:snapToGrid w:val="0"/>
          <w:lang w:eastAsia="cs-CZ"/>
        </w:rPr>
        <w:t>opatří</w:t>
      </w:r>
      <w:proofErr w:type="gramEnd"/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Zhotovitel se zavazuje Objednateli nevyužité zbytky materiálu, který od Objednatele </w:t>
      </w:r>
      <w:proofErr w:type="gramStart"/>
      <w:r>
        <w:rPr>
          <w:rFonts w:ascii="Arial" w:eastAsia="Times New Roman" w:hAnsi="Arial" w:cs="Arial"/>
          <w:snapToGrid w:val="0"/>
          <w:lang w:eastAsia="cs-CZ"/>
        </w:rPr>
        <w:t>obdrží</w:t>
      </w:r>
      <w:proofErr w:type="gramEnd"/>
      <w:r>
        <w:rPr>
          <w:rFonts w:ascii="Arial" w:eastAsia="Times New Roman" w:hAnsi="Arial" w:cs="Arial"/>
          <w:snapToGrid w:val="0"/>
          <w:lang w:eastAsia="cs-CZ"/>
        </w:rPr>
        <w:t xml:space="preserve">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ii</w:t>
      </w:r>
      <w:proofErr w:type="spellEnd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iii</w:t>
      </w:r>
      <w:proofErr w:type="spellEnd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1D685081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</w:t>
      </w:r>
      <w:proofErr w:type="spellStart"/>
      <w:r w:rsidR="006834C2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="006834C2">
        <w:rPr>
          <w:rFonts w:ascii="Arial" w:eastAsia="Times New Roman" w:hAnsi="Arial" w:cs="Arial"/>
          <w:snapToGrid w:val="0"/>
          <w:lang w:eastAsia="cs-CZ"/>
        </w:rPr>
        <w:t xml:space="preserve">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</w:t>
      </w:r>
      <w:proofErr w:type="spellStart"/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Předzásoba</w:t>
      </w:r>
      <w:proofErr w:type="spellEnd"/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019B8B01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D10B47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</w:t>
      </w:r>
      <w:proofErr w:type="spellStart"/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předzásoby</w:t>
      </w:r>
      <w:proofErr w:type="spellEnd"/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</w:t>
      </w:r>
      <w:proofErr w:type="spellStart"/>
      <w:r w:rsidR="00C806AB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A37874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A37874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0D11F758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7D17B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79ACF784" w14:textId="77777777" w:rsidR="007D17B0" w:rsidRPr="00A37874" w:rsidRDefault="007D17B0" w:rsidP="007D17B0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1B12EA6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054A91C9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7D17B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18C782F2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7D17B0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38F736DC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7D17B0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7F00718E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7D17B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8B6F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D17B0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6F37"/>
    <w:rsid w:val="008B7C55"/>
    <w:rsid w:val="008C5C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4785F"/>
    <w:rsid w:val="00B51A9F"/>
    <w:rsid w:val="00B620B6"/>
    <w:rsid w:val="00B80A8A"/>
    <w:rsid w:val="00B82BD5"/>
    <w:rsid w:val="00BE1D07"/>
    <w:rsid w:val="00BE724F"/>
    <w:rsid w:val="00C17729"/>
    <w:rsid w:val="00C23029"/>
    <w:rsid w:val="00C54DCA"/>
    <w:rsid w:val="00C806AB"/>
    <w:rsid w:val="00CE293D"/>
    <w:rsid w:val="00CF0F6A"/>
    <w:rsid w:val="00CF7371"/>
    <w:rsid w:val="00D10B47"/>
    <w:rsid w:val="00D31D5D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2174</Words>
  <Characters>12833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10</cp:revision>
  <cp:lastPrinted>2022-10-10T07:19:00Z</cp:lastPrinted>
  <dcterms:created xsi:type="dcterms:W3CDTF">2022-10-04T14:01:00Z</dcterms:created>
  <dcterms:modified xsi:type="dcterms:W3CDTF">2022-10-27T06:11:00Z</dcterms:modified>
</cp:coreProperties>
</file>